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FA8" w:rsidRPr="00BC63D1" w:rsidRDefault="00764A8B" w:rsidP="00045FA8">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Doubling Attention’s Temporal Resolution?</w:t>
      </w:r>
    </w:p>
    <w:p w:rsidR="00045FA8" w:rsidRPr="00BC63D1" w:rsidRDefault="00045FA8" w:rsidP="00BC63D1">
      <w:pPr>
        <w:tabs>
          <w:tab w:val="center" w:pos="4680"/>
          <w:tab w:val="left" w:pos="6708"/>
        </w:tabs>
        <w:rPr>
          <w:rFonts w:ascii="Times New Roman" w:hAnsi="Times New Roman" w:cs="Times New Roman"/>
          <w:b/>
          <w:sz w:val="24"/>
          <w:szCs w:val="24"/>
        </w:rPr>
      </w:pPr>
      <w:r w:rsidRPr="00BC63D1">
        <w:rPr>
          <w:rFonts w:ascii="Times New Roman" w:hAnsi="Times New Roman" w:cs="Times New Roman"/>
          <w:b/>
          <w:sz w:val="24"/>
          <w:szCs w:val="24"/>
        </w:rPr>
        <w:tab/>
      </w:r>
      <w:r w:rsidR="00764A8B">
        <w:rPr>
          <w:rFonts w:ascii="Times New Roman" w:hAnsi="Times New Roman" w:cs="Times New Roman"/>
          <w:b/>
          <w:sz w:val="24"/>
          <w:szCs w:val="24"/>
        </w:rPr>
        <w:t>Andrew Clement</w:t>
      </w:r>
      <w:r w:rsidR="00F5299A">
        <w:rPr>
          <w:rFonts w:ascii="Times New Roman" w:hAnsi="Times New Roman" w:cs="Times New Roman"/>
          <w:b/>
          <w:sz w:val="24"/>
          <w:szCs w:val="24"/>
          <w:vertAlign w:val="superscript"/>
        </w:rPr>
        <w:t>1</w:t>
      </w:r>
      <w:r w:rsidR="00764A8B">
        <w:rPr>
          <w:rFonts w:ascii="Times New Roman" w:hAnsi="Times New Roman" w:cs="Times New Roman"/>
          <w:b/>
          <w:sz w:val="24"/>
          <w:szCs w:val="24"/>
          <w:vertAlign w:val="superscript"/>
        </w:rPr>
        <w:t>,</w:t>
      </w:r>
      <w:r w:rsidR="00C562A1">
        <w:rPr>
          <w:rFonts w:ascii="Times New Roman" w:hAnsi="Times New Roman" w:cs="Times New Roman"/>
          <w:b/>
          <w:sz w:val="24"/>
          <w:szCs w:val="24"/>
          <w:vertAlign w:val="superscript"/>
        </w:rPr>
        <w:t xml:space="preserve"> </w:t>
      </w:r>
      <w:r w:rsidR="00764A8B">
        <w:rPr>
          <w:rFonts w:ascii="Times New Roman" w:hAnsi="Times New Roman" w:cs="Times New Roman"/>
          <w:b/>
          <w:sz w:val="24"/>
          <w:szCs w:val="24"/>
          <w:vertAlign w:val="superscript"/>
        </w:rPr>
        <w:t>2</w:t>
      </w:r>
      <w:r w:rsidR="00764A8B">
        <w:rPr>
          <w:rFonts w:ascii="Times New Roman" w:hAnsi="Times New Roman" w:cs="Times New Roman"/>
          <w:b/>
          <w:sz w:val="24"/>
          <w:szCs w:val="24"/>
        </w:rPr>
        <w:t xml:space="preserve"> &amp;</w:t>
      </w:r>
      <w:r w:rsidR="00364290">
        <w:rPr>
          <w:rFonts w:ascii="Times New Roman" w:hAnsi="Times New Roman" w:cs="Times New Roman"/>
          <w:b/>
          <w:sz w:val="24"/>
          <w:szCs w:val="24"/>
        </w:rPr>
        <w:t xml:space="preserve"> </w:t>
      </w:r>
      <w:r w:rsidR="00764A8B" w:rsidRPr="00BC63D1">
        <w:rPr>
          <w:rFonts w:ascii="Times New Roman" w:hAnsi="Times New Roman" w:cs="Times New Roman"/>
          <w:b/>
          <w:sz w:val="24"/>
          <w:szCs w:val="24"/>
        </w:rPr>
        <w:t>Nestor Matthews</w:t>
      </w:r>
      <w:r w:rsidR="00764A8B" w:rsidRPr="00BC63D1">
        <w:rPr>
          <w:rFonts w:ascii="Times New Roman" w:hAnsi="Times New Roman" w:cs="Times New Roman"/>
          <w:b/>
          <w:sz w:val="24"/>
          <w:szCs w:val="24"/>
          <w:vertAlign w:val="superscript"/>
        </w:rPr>
        <w:t>1</w:t>
      </w:r>
      <w:r w:rsidRPr="00BC63D1">
        <w:rPr>
          <w:rFonts w:ascii="Times New Roman" w:hAnsi="Times New Roman" w:cs="Times New Roman"/>
          <w:b/>
          <w:sz w:val="24"/>
          <w:szCs w:val="24"/>
        </w:rPr>
        <w:t xml:space="preserve"> </w:t>
      </w:r>
    </w:p>
    <w:p w:rsidR="00045FA8" w:rsidRPr="00BC63D1" w:rsidRDefault="00045FA8" w:rsidP="00045FA8">
      <w:pPr>
        <w:spacing w:line="240" w:lineRule="auto"/>
        <w:jc w:val="center"/>
        <w:rPr>
          <w:rFonts w:ascii="Times New Roman" w:hAnsi="Times New Roman" w:cs="Times New Roman"/>
        </w:rPr>
      </w:pPr>
      <w:r w:rsidRPr="00BC63D1">
        <w:rPr>
          <w:rFonts w:ascii="Times New Roman" w:hAnsi="Times New Roman" w:cs="Times New Roman"/>
          <w:vertAlign w:val="superscript"/>
        </w:rPr>
        <w:t xml:space="preserve">1 </w:t>
      </w:r>
      <w:r w:rsidRPr="00BC63D1">
        <w:rPr>
          <w:rFonts w:ascii="Times New Roman" w:hAnsi="Times New Roman" w:cs="Times New Roman"/>
        </w:rPr>
        <w:t>Department of Psychology, Denison University</w:t>
      </w:r>
      <w:r w:rsidR="00764A8B">
        <w:rPr>
          <w:rFonts w:ascii="Times New Roman" w:hAnsi="Times New Roman" w:cs="Times New Roman"/>
        </w:rPr>
        <w:t xml:space="preserve">, </w:t>
      </w:r>
      <w:r w:rsidR="00764A8B" w:rsidRPr="00764A8B">
        <w:rPr>
          <w:rFonts w:ascii="Times New Roman" w:hAnsi="Times New Roman" w:cs="Times New Roman"/>
          <w:vertAlign w:val="superscript"/>
        </w:rPr>
        <w:t>2</w:t>
      </w:r>
      <w:r w:rsidR="00764A8B">
        <w:rPr>
          <w:rFonts w:ascii="Times New Roman" w:hAnsi="Times New Roman" w:cs="Times New Roman"/>
        </w:rPr>
        <w:t>Department of Psychology University of Notre Dame</w:t>
      </w:r>
    </w:p>
    <w:p w:rsidR="001E1AE9" w:rsidRDefault="001E1AE9" w:rsidP="007206F6">
      <w:pPr>
        <w:tabs>
          <w:tab w:val="num" w:pos="1440"/>
        </w:tabs>
        <w:spacing w:line="360" w:lineRule="auto"/>
        <w:ind w:firstLine="720"/>
        <w:rPr>
          <w:rFonts w:ascii="Times New Roman" w:hAnsi="Times New Roman" w:cs="Times New Roman"/>
          <w:b/>
          <w:sz w:val="20"/>
          <w:szCs w:val="20"/>
        </w:rPr>
      </w:pPr>
    </w:p>
    <w:p w:rsidR="00662E77" w:rsidRDefault="00662E77" w:rsidP="007206F6">
      <w:pPr>
        <w:tabs>
          <w:tab w:val="num" w:pos="1440"/>
        </w:tabs>
        <w:spacing w:line="360" w:lineRule="auto"/>
        <w:ind w:firstLine="720"/>
        <w:rPr>
          <w:rFonts w:ascii="Times New Roman" w:hAnsi="Times New Roman" w:cs="Times New Roman"/>
          <w:sz w:val="20"/>
          <w:szCs w:val="20"/>
        </w:rPr>
      </w:pPr>
      <w:r w:rsidRPr="00F6267D">
        <w:rPr>
          <w:rFonts w:ascii="Times New Roman" w:hAnsi="Times New Roman" w:cs="Times New Roman"/>
          <w:b/>
          <w:sz w:val="20"/>
          <w:szCs w:val="20"/>
        </w:rPr>
        <w:t>Introduction:</w:t>
      </w:r>
      <w:r w:rsidRPr="00F6267D">
        <w:rPr>
          <w:rFonts w:ascii="Times New Roman" w:hAnsi="Times New Roman" w:cs="Times New Roman"/>
          <w:sz w:val="20"/>
          <w:szCs w:val="20"/>
        </w:rPr>
        <w:t xml:space="preserve"> </w:t>
      </w:r>
      <w:r w:rsidR="003F59C8">
        <w:rPr>
          <w:rFonts w:ascii="Times New Roman" w:hAnsi="Times New Roman" w:cs="Times New Roman"/>
          <w:sz w:val="20"/>
          <w:szCs w:val="20"/>
        </w:rPr>
        <w:t>Previous work suggests that visual attention samples the environment approximately seven times per second (</w:t>
      </w:r>
      <w:proofErr w:type="spellStart"/>
      <w:r w:rsidR="003F59C8">
        <w:rPr>
          <w:rFonts w:ascii="Times New Roman" w:hAnsi="Times New Roman" w:cs="Times New Roman"/>
          <w:sz w:val="20"/>
          <w:szCs w:val="20"/>
        </w:rPr>
        <w:t>VanRullen</w:t>
      </w:r>
      <w:proofErr w:type="spellEnd"/>
      <w:r w:rsidR="003F59C8">
        <w:rPr>
          <w:rFonts w:ascii="Times New Roman" w:hAnsi="Times New Roman" w:cs="Times New Roman"/>
          <w:sz w:val="20"/>
          <w:szCs w:val="20"/>
        </w:rPr>
        <w:t xml:space="preserve">, Carlson &amp; Cavanagh, 2007). </w:t>
      </w:r>
      <w:r w:rsidR="007206F6">
        <w:rPr>
          <w:rFonts w:ascii="Times New Roman" w:hAnsi="Times New Roman" w:cs="Times New Roman"/>
          <w:sz w:val="20"/>
          <w:szCs w:val="20"/>
        </w:rPr>
        <w:t xml:space="preserve">Previous work also suggests that distinct neural resources mediate attention to the left visual field (LVF) </w:t>
      </w:r>
      <w:r w:rsidR="007C52E7">
        <w:rPr>
          <w:rFonts w:ascii="Times New Roman" w:hAnsi="Times New Roman" w:cs="Times New Roman"/>
          <w:sz w:val="20"/>
          <w:szCs w:val="20"/>
        </w:rPr>
        <w:t>and</w:t>
      </w:r>
      <w:r w:rsidR="007206F6">
        <w:rPr>
          <w:rFonts w:ascii="Times New Roman" w:hAnsi="Times New Roman" w:cs="Times New Roman"/>
          <w:sz w:val="20"/>
          <w:szCs w:val="20"/>
        </w:rPr>
        <w:t xml:space="preserve"> the right visual field (RVF) (Alvarez &amp; Cavanagh, 2005). </w:t>
      </w:r>
      <w:r w:rsidR="00156F7B">
        <w:rPr>
          <w:rFonts w:ascii="Times New Roman" w:hAnsi="Times New Roman" w:cs="Times New Roman"/>
          <w:sz w:val="20"/>
          <w:szCs w:val="20"/>
        </w:rPr>
        <w:t xml:space="preserve">Here, we investigated the extent to which these independent LVF and RVF neural resources </w:t>
      </w:r>
      <w:r w:rsidR="00D22F69">
        <w:rPr>
          <w:rFonts w:ascii="Times New Roman" w:hAnsi="Times New Roman" w:cs="Times New Roman"/>
          <w:sz w:val="20"/>
          <w:szCs w:val="20"/>
        </w:rPr>
        <w:t>might</w:t>
      </w:r>
      <w:r w:rsidR="00156F7B">
        <w:rPr>
          <w:rFonts w:ascii="Times New Roman" w:hAnsi="Times New Roman" w:cs="Times New Roman"/>
          <w:sz w:val="20"/>
          <w:szCs w:val="20"/>
        </w:rPr>
        <w:t xml:space="preserve"> operate additively to </w:t>
      </w:r>
      <w:r w:rsidR="00046982">
        <w:rPr>
          <w:rFonts w:ascii="Times New Roman" w:hAnsi="Times New Roman" w:cs="Times New Roman"/>
          <w:sz w:val="20"/>
          <w:szCs w:val="20"/>
        </w:rPr>
        <w:t>approximately</w:t>
      </w:r>
      <w:r w:rsidR="00156F7B">
        <w:rPr>
          <w:rFonts w:ascii="Times New Roman" w:hAnsi="Times New Roman" w:cs="Times New Roman"/>
          <w:sz w:val="20"/>
          <w:szCs w:val="20"/>
        </w:rPr>
        <w:t xml:space="preserve"> double attention’s temporal resolution. </w:t>
      </w:r>
    </w:p>
    <w:p w:rsidR="00C8587A" w:rsidRDefault="00662E77" w:rsidP="00C8587A">
      <w:pPr>
        <w:spacing w:line="360" w:lineRule="auto"/>
        <w:ind w:firstLine="720"/>
        <w:rPr>
          <w:rFonts w:ascii="Times New Roman" w:hAnsi="Times New Roman" w:cs="Times New Roman"/>
          <w:sz w:val="20"/>
          <w:szCs w:val="20"/>
        </w:rPr>
      </w:pPr>
      <w:r w:rsidRPr="00F6267D">
        <w:rPr>
          <w:rFonts w:ascii="Times New Roman" w:hAnsi="Times New Roman" w:cs="Times New Roman"/>
          <w:b/>
          <w:sz w:val="20"/>
          <w:szCs w:val="20"/>
        </w:rPr>
        <w:t>Method:</w:t>
      </w:r>
      <w:r w:rsidRPr="00F6267D">
        <w:rPr>
          <w:rFonts w:ascii="Times New Roman" w:hAnsi="Times New Roman" w:cs="Times New Roman"/>
          <w:sz w:val="20"/>
          <w:szCs w:val="20"/>
        </w:rPr>
        <w:t xml:space="preserve"> </w:t>
      </w:r>
      <w:r w:rsidR="00156F7B">
        <w:rPr>
          <w:rFonts w:ascii="Times New Roman" w:hAnsi="Times New Roman" w:cs="Times New Roman"/>
          <w:sz w:val="20"/>
          <w:szCs w:val="20"/>
        </w:rPr>
        <w:t>Denison University undergraduates viewed bilateral-stream RSVP displays con</w:t>
      </w:r>
      <w:r w:rsidR="00C76EA9">
        <w:rPr>
          <w:rFonts w:ascii="Times New Roman" w:hAnsi="Times New Roman" w:cs="Times New Roman"/>
          <w:sz w:val="20"/>
          <w:szCs w:val="20"/>
        </w:rPr>
        <w:t xml:space="preserve">taining two targets </w:t>
      </w:r>
      <w:r w:rsidR="00FB0541">
        <w:rPr>
          <w:rFonts w:ascii="Times New Roman" w:hAnsi="Times New Roman" w:cs="Times New Roman"/>
          <w:sz w:val="20"/>
          <w:szCs w:val="20"/>
        </w:rPr>
        <w:t xml:space="preserve">(T1 and T2) </w:t>
      </w:r>
      <w:r w:rsidR="00156F7B">
        <w:rPr>
          <w:rFonts w:ascii="Times New Roman" w:hAnsi="Times New Roman" w:cs="Times New Roman"/>
          <w:sz w:val="20"/>
          <w:szCs w:val="20"/>
        </w:rPr>
        <w:t xml:space="preserve">and reported the identity of each target on each trial. </w:t>
      </w:r>
      <w:r w:rsidR="005123E3">
        <w:rPr>
          <w:rFonts w:ascii="Times New Roman" w:hAnsi="Times New Roman" w:cs="Times New Roman"/>
          <w:sz w:val="20"/>
          <w:szCs w:val="20"/>
        </w:rPr>
        <w:t xml:space="preserve">Across trials, four target-hemifield configurations (LL, RR, RL, </w:t>
      </w:r>
      <w:proofErr w:type="gramStart"/>
      <w:r w:rsidR="005123E3">
        <w:rPr>
          <w:rFonts w:ascii="Times New Roman" w:hAnsi="Times New Roman" w:cs="Times New Roman"/>
          <w:sz w:val="20"/>
          <w:szCs w:val="20"/>
        </w:rPr>
        <w:t>LR</w:t>
      </w:r>
      <w:proofErr w:type="gramEnd"/>
      <w:r w:rsidR="005123E3">
        <w:rPr>
          <w:rFonts w:ascii="Times New Roman" w:hAnsi="Times New Roman" w:cs="Times New Roman"/>
          <w:sz w:val="20"/>
          <w:szCs w:val="20"/>
        </w:rPr>
        <w:t xml:space="preserve">) varied randomly. </w:t>
      </w:r>
      <w:r w:rsidR="00156F7B">
        <w:rPr>
          <w:rFonts w:ascii="Times New Roman" w:hAnsi="Times New Roman" w:cs="Times New Roman"/>
          <w:sz w:val="20"/>
          <w:szCs w:val="20"/>
        </w:rPr>
        <w:t xml:space="preserve"> In Experiment 1, the LVF and RVF streams were </w:t>
      </w:r>
      <w:r w:rsidR="005123E3">
        <w:rPr>
          <w:rFonts w:ascii="Times New Roman" w:hAnsi="Times New Roman" w:cs="Times New Roman"/>
          <w:sz w:val="20"/>
          <w:szCs w:val="20"/>
        </w:rPr>
        <w:t xml:space="preserve">either temporally </w:t>
      </w:r>
      <w:r w:rsidR="00156F7B">
        <w:rPr>
          <w:rFonts w:ascii="Times New Roman" w:hAnsi="Times New Roman" w:cs="Times New Roman"/>
          <w:sz w:val="20"/>
          <w:szCs w:val="20"/>
        </w:rPr>
        <w:t xml:space="preserve">synchronized </w:t>
      </w:r>
      <w:r w:rsidR="005123E3">
        <w:rPr>
          <w:rFonts w:ascii="Times New Roman" w:hAnsi="Times New Roman" w:cs="Times New Roman"/>
          <w:sz w:val="20"/>
          <w:szCs w:val="20"/>
        </w:rPr>
        <w:t xml:space="preserve">or asynchronized such that new visual information appeared at either 7.5 or 15 Hz, respectively.  </w:t>
      </w:r>
      <w:r w:rsidR="00C8587A">
        <w:rPr>
          <w:rFonts w:ascii="Times New Roman" w:hAnsi="Times New Roman" w:cs="Times New Roman"/>
          <w:sz w:val="20"/>
          <w:szCs w:val="20"/>
        </w:rPr>
        <w:t xml:space="preserve">Experiment 2 comprised the asynchronized condition from experiment 1, and a “triple” condition that embedded T1 and T2 within separate LVF-only or RVF-only stimulus trios at 15 Hz. </w:t>
      </w:r>
    </w:p>
    <w:p w:rsidR="00662E77" w:rsidRPr="00F6267D" w:rsidRDefault="00662E77" w:rsidP="00662E77">
      <w:pPr>
        <w:spacing w:line="360" w:lineRule="auto"/>
        <w:ind w:firstLine="720"/>
        <w:rPr>
          <w:rFonts w:ascii="Times New Roman" w:hAnsi="Times New Roman" w:cs="Times New Roman"/>
          <w:sz w:val="20"/>
          <w:szCs w:val="20"/>
        </w:rPr>
      </w:pPr>
      <w:r w:rsidRPr="00F6267D">
        <w:rPr>
          <w:rFonts w:ascii="Times New Roman" w:hAnsi="Times New Roman" w:cs="Times New Roman"/>
          <w:b/>
          <w:sz w:val="20"/>
          <w:szCs w:val="20"/>
        </w:rPr>
        <w:t>Results:</w:t>
      </w:r>
      <w:r w:rsidRPr="00F6267D">
        <w:rPr>
          <w:rFonts w:ascii="Times New Roman" w:hAnsi="Times New Roman" w:cs="Times New Roman"/>
          <w:sz w:val="20"/>
          <w:szCs w:val="20"/>
        </w:rPr>
        <w:t xml:space="preserve"> </w:t>
      </w:r>
      <w:r w:rsidR="00715A85" w:rsidRPr="00715A85">
        <w:rPr>
          <w:rFonts w:ascii="Times New Roman" w:hAnsi="Times New Roman" w:cs="Times New Roman"/>
          <w:sz w:val="20"/>
          <w:szCs w:val="20"/>
          <w:u w:val="single"/>
        </w:rPr>
        <w:t>Experiment 1</w:t>
      </w:r>
      <w:r w:rsidR="00715A85">
        <w:rPr>
          <w:rFonts w:ascii="Times New Roman" w:hAnsi="Times New Roman" w:cs="Times New Roman"/>
          <w:sz w:val="20"/>
          <w:szCs w:val="20"/>
        </w:rPr>
        <w:t>: D</w:t>
      </w:r>
      <w:r w:rsidR="001B0192" w:rsidRPr="006504FE">
        <w:rPr>
          <w:rFonts w:ascii="Times New Roman" w:hAnsi="Times New Roman" w:cs="Times New Roman"/>
          <w:sz w:val="20"/>
          <w:szCs w:val="20"/>
        </w:rPr>
        <w:t>oubling</w:t>
      </w:r>
      <w:r w:rsidR="001B0192">
        <w:rPr>
          <w:rFonts w:ascii="Times New Roman" w:hAnsi="Times New Roman" w:cs="Times New Roman"/>
          <w:sz w:val="20"/>
          <w:szCs w:val="20"/>
        </w:rPr>
        <w:t xml:space="preserve"> the visual information rate from 7.5 Hz (synchronous condition) to 15 Hz (asynchronous condition) did not </w:t>
      </w:r>
      <w:r w:rsidR="00D22F69">
        <w:rPr>
          <w:rFonts w:ascii="Times New Roman" w:hAnsi="Times New Roman" w:cs="Times New Roman"/>
          <w:sz w:val="20"/>
          <w:szCs w:val="20"/>
        </w:rPr>
        <w:t>impair</w:t>
      </w:r>
      <w:r w:rsidR="001B0192">
        <w:rPr>
          <w:rFonts w:ascii="Times New Roman" w:hAnsi="Times New Roman" w:cs="Times New Roman"/>
          <w:sz w:val="20"/>
          <w:szCs w:val="20"/>
        </w:rPr>
        <w:t xml:space="preserve"> </w:t>
      </w:r>
      <w:r w:rsidR="006B5C3B">
        <w:rPr>
          <w:rFonts w:ascii="Times New Roman" w:hAnsi="Times New Roman" w:cs="Times New Roman"/>
          <w:sz w:val="20"/>
          <w:szCs w:val="20"/>
        </w:rPr>
        <w:t xml:space="preserve">T2|T1 accuracy </w:t>
      </w:r>
      <w:r w:rsidR="001B0192">
        <w:rPr>
          <w:rFonts w:ascii="Times New Roman" w:hAnsi="Times New Roman" w:cs="Times New Roman"/>
          <w:sz w:val="20"/>
          <w:szCs w:val="20"/>
        </w:rPr>
        <w:t xml:space="preserve">(p=0.162, </w:t>
      </w:r>
      <w:proofErr w:type="spellStart"/>
      <w:r w:rsidR="001B0192">
        <w:rPr>
          <w:rFonts w:ascii="Times New Roman" w:hAnsi="Times New Roman" w:cs="Times New Roman"/>
          <w:sz w:val="20"/>
          <w:szCs w:val="20"/>
        </w:rPr>
        <w:t>n.s</w:t>
      </w:r>
      <w:proofErr w:type="spellEnd"/>
      <w:r w:rsidR="001B0192">
        <w:rPr>
          <w:rFonts w:ascii="Times New Roman" w:hAnsi="Times New Roman" w:cs="Times New Roman"/>
          <w:sz w:val="20"/>
          <w:szCs w:val="20"/>
        </w:rPr>
        <w:t xml:space="preserve">.). </w:t>
      </w:r>
      <w:r w:rsidR="00900B8C">
        <w:rPr>
          <w:rFonts w:ascii="Times New Roman" w:hAnsi="Times New Roman" w:cs="Times New Roman"/>
          <w:sz w:val="20"/>
          <w:szCs w:val="20"/>
        </w:rPr>
        <w:t xml:space="preserve">Also, T2|T1 accuracy </w:t>
      </w:r>
      <w:r w:rsidR="00715A85">
        <w:rPr>
          <w:rFonts w:ascii="Times New Roman" w:hAnsi="Times New Roman" w:cs="Times New Roman"/>
          <w:sz w:val="20"/>
          <w:szCs w:val="20"/>
        </w:rPr>
        <w:t xml:space="preserve">for </w:t>
      </w:r>
      <w:r w:rsidR="00900B8C">
        <w:rPr>
          <w:rFonts w:ascii="Times New Roman" w:hAnsi="Times New Roman" w:cs="Times New Roman"/>
          <w:sz w:val="20"/>
          <w:szCs w:val="20"/>
        </w:rPr>
        <w:t>LVF</w:t>
      </w:r>
      <w:r w:rsidR="0096220D">
        <w:rPr>
          <w:rFonts w:ascii="Times New Roman" w:hAnsi="Times New Roman" w:cs="Times New Roman"/>
          <w:sz w:val="20"/>
          <w:szCs w:val="20"/>
        </w:rPr>
        <w:t>-T2’s</w:t>
      </w:r>
      <w:r w:rsidR="00900B8C">
        <w:rPr>
          <w:rFonts w:ascii="Times New Roman" w:hAnsi="Times New Roman" w:cs="Times New Roman"/>
          <w:sz w:val="20"/>
          <w:szCs w:val="20"/>
        </w:rPr>
        <w:t xml:space="preserve"> significantly exceeded that </w:t>
      </w:r>
      <w:r w:rsidR="0096220D">
        <w:rPr>
          <w:rFonts w:ascii="Times New Roman" w:hAnsi="Times New Roman" w:cs="Times New Roman"/>
          <w:sz w:val="20"/>
          <w:szCs w:val="20"/>
        </w:rPr>
        <w:t xml:space="preserve">for </w:t>
      </w:r>
      <w:r w:rsidR="00900B8C">
        <w:rPr>
          <w:rFonts w:ascii="Times New Roman" w:hAnsi="Times New Roman" w:cs="Times New Roman"/>
          <w:sz w:val="20"/>
          <w:szCs w:val="20"/>
        </w:rPr>
        <w:t>RVF</w:t>
      </w:r>
      <w:r w:rsidR="0096220D">
        <w:rPr>
          <w:rFonts w:ascii="Times New Roman" w:hAnsi="Times New Roman" w:cs="Times New Roman"/>
          <w:sz w:val="20"/>
          <w:szCs w:val="20"/>
        </w:rPr>
        <w:t>-T2s</w:t>
      </w:r>
      <w:r w:rsidR="00900B8C">
        <w:rPr>
          <w:rFonts w:ascii="Times New Roman" w:hAnsi="Times New Roman" w:cs="Times New Roman"/>
          <w:sz w:val="20"/>
          <w:szCs w:val="20"/>
        </w:rPr>
        <w:t xml:space="preserve"> (p&lt;0.001). </w:t>
      </w:r>
      <w:r w:rsidR="00715A85" w:rsidRPr="00715A85">
        <w:rPr>
          <w:rFonts w:ascii="Times New Roman" w:hAnsi="Times New Roman" w:cs="Times New Roman"/>
          <w:sz w:val="20"/>
          <w:szCs w:val="20"/>
          <w:u w:val="single"/>
        </w:rPr>
        <w:t>Experiment</w:t>
      </w:r>
      <w:r w:rsidR="00D01FE7" w:rsidRPr="00715A85">
        <w:rPr>
          <w:rFonts w:ascii="Times New Roman" w:hAnsi="Times New Roman" w:cs="Times New Roman"/>
          <w:sz w:val="20"/>
          <w:szCs w:val="20"/>
          <w:u w:val="single"/>
        </w:rPr>
        <w:t xml:space="preserve"> 2</w:t>
      </w:r>
      <w:r w:rsidR="00715A85">
        <w:rPr>
          <w:rFonts w:ascii="Times New Roman" w:hAnsi="Times New Roman" w:cs="Times New Roman"/>
          <w:sz w:val="20"/>
          <w:szCs w:val="20"/>
        </w:rPr>
        <w:t xml:space="preserve">: </w:t>
      </w:r>
      <w:r w:rsidR="00D01FE7">
        <w:rPr>
          <w:rFonts w:ascii="Times New Roman" w:hAnsi="Times New Roman" w:cs="Times New Roman"/>
          <w:sz w:val="20"/>
          <w:szCs w:val="20"/>
        </w:rPr>
        <w:t xml:space="preserve">T2|T1 accuracy in the asynchronous condition significantly exceeded that in the laterally faster “triple” condition when the two targets appeared within the same hemifield (p&lt;0.001). This effect vanished when the two targets appeared in separate hemifields. </w:t>
      </w:r>
      <w:r w:rsidR="00900B8C">
        <w:rPr>
          <w:rFonts w:ascii="Times New Roman" w:hAnsi="Times New Roman" w:cs="Times New Roman"/>
          <w:sz w:val="20"/>
          <w:szCs w:val="20"/>
        </w:rPr>
        <w:t xml:space="preserve">T2 accuracy also </w:t>
      </w:r>
      <w:r w:rsidR="0096220D">
        <w:rPr>
          <w:rFonts w:ascii="Times New Roman" w:hAnsi="Times New Roman" w:cs="Times New Roman"/>
          <w:sz w:val="20"/>
          <w:szCs w:val="20"/>
        </w:rPr>
        <w:t xml:space="preserve">significantly exceeded T1 accuracy in the triple condition’s “RL” hemifield configuration (p&lt;0.05), further evidencing a LVF advantage. </w:t>
      </w:r>
      <w:r w:rsidR="00900B8C">
        <w:rPr>
          <w:rFonts w:ascii="Times New Roman" w:hAnsi="Times New Roman" w:cs="Times New Roman"/>
          <w:sz w:val="20"/>
          <w:szCs w:val="20"/>
        </w:rPr>
        <w:t xml:space="preserve"> </w:t>
      </w:r>
    </w:p>
    <w:p w:rsidR="007A1B26" w:rsidRPr="00F6267D" w:rsidRDefault="00662E77" w:rsidP="007A1B26">
      <w:pPr>
        <w:spacing w:line="360" w:lineRule="auto"/>
        <w:ind w:firstLine="720"/>
        <w:rPr>
          <w:rFonts w:ascii="Times New Roman" w:hAnsi="Times New Roman" w:cs="Times New Roman"/>
          <w:sz w:val="20"/>
          <w:szCs w:val="20"/>
        </w:rPr>
      </w:pPr>
      <w:r w:rsidRPr="00F6267D">
        <w:rPr>
          <w:rFonts w:ascii="Times New Roman" w:hAnsi="Times New Roman" w:cs="Times New Roman"/>
          <w:b/>
          <w:sz w:val="20"/>
          <w:szCs w:val="20"/>
        </w:rPr>
        <w:t>Conclusion:</w:t>
      </w:r>
      <w:r w:rsidRPr="00F6267D">
        <w:rPr>
          <w:rFonts w:ascii="Times New Roman" w:hAnsi="Times New Roman" w:cs="Times New Roman"/>
          <w:sz w:val="20"/>
          <w:szCs w:val="20"/>
        </w:rPr>
        <w:t xml:space="preserve"> </w:t>
      </w:r>
      <w:r w:rsidR="007A1B26" w:rsidRPr="00F6267D">
        <w:rPr>
          <w:rFonts w:ascii="Times New Roman" w:hAnsi="Times New Roman" w:cs="Times New Roman"/>
          <w:sz w:val="20"/>
          <w:szCs w:val="20"/>
        </w:rPr>
        <w:t xml:space="preserve"> </w:t>
      </w:r>
      <w:r w:rsidR="004942EE" w:rsidRPr="004942EE">
        <w:rPr>
          <w:rFonts w:ascii="Times New Roman" w:hAnsi="Times New Roman" w:cs="Times New Roman"/>
          <w:sz w:val="20"/>
          <w:szCs w:val="20"/>
        </w:rPr>
        <w:t>Our findings suggest that independent LVF and RVF neural resources can cooperat</w:t>
      </w:r>
      <w:r w:rsidR="00243EDA">
        <w:rPr>
          <w:rFonts w:ascii="Times New Roman" w:hAnsi="Times New Roman" w:cs="Times New Roman"/>
          <w:sz w:val="20"/>
          <w:szCs w:val="20"/>
        </w:rPr>
        <w:t>e</w:t>
      </w:r>
      <w:r w:rsidR="004942EE" w:rsidRPr="004942EE">
        <w:rPr>
          <w:rFonts w:ascii="Times New Roman" w:hAnsi="Times New Roman" w:cs="Times New Roman"/>
          <w:sz w:val="20"/>
          <w:szCs w:val="20"/>
        </w:rPr>
        <w:t xml:space="preserve"> to effectively double attention’s temporal resolution, under appropriate stimulus conditions.   </w:t>
      </w:r>
      <w:r w:rsidR="0096220D">
        <w:rPr>
          <w:rFonts w:ascii="Times New Roman" w:hAnsi="Times New Roman" w:cs="Times New Roman"/>
          <w:sz w:val="20"/>
          <w:szCs w:val="20"/>
        </w:rPr>
        <w:t xml:space="preserve">Additionally, the present LVF advantages further support a right parietal lobe “when” pathway </w:t>
      </w:r>
      <w:r w:rsidR="00715A85">
        <w:rPr>
          <w:rFonts w:ascii="Times New Roman" w:hAnsi="Times New Roman" w:cs="Times New Roman"/>
          <w:sz w:val="20"/>
          <w:szCs w:val="20"/>
        </w:rPr>
        <w:t>(</w:t>
      </w:r>
      <w:proofErr w:type="spellStart"/>
      <w:r w:rsidR="00715A85">
        <w:rPr>
          <w:rFonts w:ascii="Times New Roman" w:hAnsi="Times New Roman" w:cs="Times New Roman"/>
          <w:sz w:val="20"/>
          <w:szCs w:val="20"/>
        </w:rPr>
        <w:t>Battelli</w:t>
      </w:r>
      <w:proofErr w:type="spellEnd"/>
      <w:r w:rsidR="00715A85">
        <w:rPr>
          <w:rFonts w:ascii="Times New Roman" w:hAnsi="Times New Roman" w:cs="Times New Roman"/>
          <w:sz w:val="20"/>
          <w:szCs w:val="20"/>
        </w:rPr>
        <w:t xml:space="preserve">, </w:t>
      </w:r>
      <w:proofErr w:type="spellStart"/>
      <w:r w:rsidR="00715A85">
        <w:rPr>
          <w:rFonts w:ascii="Times New Roman" w:hAnsi="Times New Roman" w:cs="Times New Roman"/>
          <w:sz w:val="20"/>
          <w:szCs w:val="20"/>
        </w:rPr>
        <w:t>Pascual</w:t>
      </w:r>
      <w:proofErr w:type="spellEnd"/>
      <w:r w:rsidR="00715A85">
        <w:rPr>
          <w:rFonts w:ascii="Times New Roman" w:hAnsi="Times New Roman" w:cs="Times New Roman"/>
          <w:sz w:val="20"/>
          <w:szCs w:val="20"/>
        </w:rPr>
        <w:t xml:space="preserve">-Leone &amp; Cavanagh, </w:t>
      </w:r>
      <w:r w:rsidR="0096220D">
        <w:rPr>
          <w:rFonts w:ascii="Times New Roman" w:hAnsi="Times New Roman" w:cs="Times New Roman"/>
          <w:sz w:val="20"/>
          <w:szCs w:val="20"/>
        </w:rPr>
        <w:t xml:space="preserve">2007). </w:t>
      </w:r>
    </w:p>
    <w:p w:rsidR="00905091" w:rsidRDefault="00662E77" w:rsidP="004942EE">
      <w:pPr>
        <w:spacing w:line="360" w:lineRule="auto"/>
        <w:rPr>
          <w:rFonts w:ascii="Times New Roman" w:hAnsi="Times New Roman" w:cs="Times New Roman"/>
          <w:b/>
          <w:sz w:val="20"/>
          <w:szCs w:val="20"/>
        </w:rPr>
      </w:pPr>
      <w:r w:rsidRPr="0047534F">
        <w:rPr>
          <w:rFonts w:ascii="Times New Roman" w:hAnsi="Times New Roman" w:cs="Times New Roman"/>
          <w:b/>
          <w:sz w:val="20"/>
          <w:szCs w:val="20"/>
        </w:rPr>
        <w:t xml:space="preserve">Word count: </w:t>
      </w:r>
      <w:r w:rsidR="00CB326E">
        <w:rPr>
          <w:rFonts w:ascii="Times New Roman" w:hAnsi="Times New Roman" w:cs="Times New Roman"/>
          <w:b/>
          <w:sz w:val="20"/>
          <w:szCs w:val="20"/>
        </w:rPr>
        <w:t>294</w:t>
      </w:r>
    </w:p>
    <w:p w:rsidR="004942EE" w:rsidRPr="004942EE" w:rsidRDefault="004942EE">
      <w:pPr>
        <w:rPr>
          <w:rFonts w:ascii="Times New Roman" w:hAnsi="Times New Roman" w:cs="Times New Roman"/>
          <w:sz w:val="20"/>
          <w:szCs w:val="20"/>
        </w:rPr>
      </w:pPr>
      <w:r w:rsidRPr="004942EE">
        <w:rPr>
          <w:rFonts w:ascii="Times New Roman" w:hAnsi="Times New Roman" w:cs="Times New Roman"/>
          <w:sz w:val="20"/>
          <w:szCs w:val="20"/>
        </w:rPr>
        <w:br w:type="page"/>
      </w:r>
    </w:p>
    <w:p w:rsidR="004942EE" w:rsidRDefault="007B5F2A" w:rsidP="007B5F2A">
      <w:pPr>
        <w:spacing w:line="360" w:lineRule="auto"/>
        <w:jc w:val="center"/>
        <w:rPr>
          <w:rFonts w:ascii="Times New Roman" w:hAnsi="Times New Roman" w:cs="Times New Roman"/>
          <w:color w:val="D9D9D9" w:themeColor="background1" w:themeShade="D9"/>
          <w:sz w:val="20"/>
          <w:szCs w:val="20"/>
        </w:rPr>
      </w:pPr>
      <w:r>
        <w:rPr>
          <w:rFonts w:ascii="Times New Roman" w:hAnsi="Times New Roman" w:cs="Times New Roman"/>
          <w:color w:val="D9D9D9" w:themeColor="background1" w:themeShade="D9"/>
          <w:sz w:val="20"/>
          <w:szCs w:val="20"/>
        </w:rPr>
        <w:lastRenderedPageBreak/>
        <w:t>Possible alternate Text:</w:t>
      </w:r>
    </w:p>
    <w:p w:rsidR="00662E77" w:rsidRDefault="00156F7B" w:rsidP="00BC63D1">
      <w:pPr>
        <w:spacing w:line="360" w:lineRule="auto"/>
        <w:rPr>
          <w:rFonts w:ascii="Times New Roman" w:hAnsi="Times New Roman" w:cs="Times New Roman"/>
          <w:color w:val="D9D9D9" w:themeColor="background1" w:themeShade="D9"/>
          <w:sz w:val="20"/>
          <w:szCs w:val="20"/>
        </w:rPr>
      </w:pPr>
      <w:r w:rsidRPr="00156F7B">
        <w:rPr>
          <w:rFonts w:ascii="Times New Roman" w:hAnsi="Times New Roman" w:cs="Times New Roman"/>
          <w:color w:val="D9D9D9" w:themeColor="background1" w:themeShade="D9"/>
          <w:sz w:val="20"/>
          <w:szCs w:val="20"/>
        </w:rPr>
        <w:t>Here, we investigated the extent to which visual attention’s ~7 HZ temporal resolution might be increased by phase-shifting dynamic visual information across the LVF and RVF. If both of these earlier findings were true, one would expect that the independent LVF and RVF neural resources could operate additively,</w:t>
      </w:r>
      <w:r w:rsidR="007B5F2A">
        <w:rPr>
          <w:rFonts w:ascii="Times New Roman" w:hAnsi="Times New Roman" w:cs="Times New Roman"/>
          <w:color w:val="D9D9D9" w:themeColor="background1" w:themeShade="D9"/>
          <w:sz w:val="20"/>
          <w:szCs w:val="20"/>
        </w:rPr>
        <w:t xml:space="preserve"> </w:t>
      </w:r>
      <w:r w:rsidRPr="00156F7B">
        <w:rPr>
          <w:rFonts w:ascii="Times New Roman" w:hAnsi="Times New Roman" w:cs="Times New Roman"/>
          <w:color w:val="D9D9D9" w:themeColor="background1" w:themeShade="D9"/>
          <w:sz w:val="20"/>
          <w:szCs w:val="20"/>
        </w:rPr>
        <w:t>thereby doubling the rate at which attention samples the entire visual field. Here, we tested this possibility by phase-shifting dynamic information across the lateral hemifields.</w:t>
      </w:r>
    </w:p>
    <w:p w:rsidR="00905091" w:rsidRDefault="00905091" w:rsidP="00BC63D1">
      <w:pPr>
        <w:spacing w:line="360" w:lineRule="auto"/>
        <w:rPr>
          <w:rFonts w:ascii="Times New Roman" w:hAnsi="Times New Roman" w:cs="Times New Roman"/>
          <w:color w:val="D9D9D9" w:themeColor="background1" w:themeShade="D9"/>
          <w:sz w:val="20"/>
          <w:szCs w:val="20"/>
        </w:rPr>
      </w:pPr>
    </w:p>
    <w:p w:rsidR="00905091" w:rsidRPr="007B5F2A" w:rsidRDefault="00905091" w:rsidP="00BC63D1">
      <w:pPr>
        <w:spacing w:line="360" w:lineRule="auto"/>
        <w:rPr>
          <w:rFonts w:ascii="Times New Roman" w:hAnsi="Times New Roman" w:cs="Times New Roman"/>
          <w:color w:val="D9D9D9" w:themeColor="background1" w:themeShade="D9"/>
          <w:sz w:val="20"/>
          <w:szCs w:val="20"/>
        </w:rPr>
      </w:pPr>
      <w:r w:rsidRPr="007B5F2A">
        <w:rPr>
          <w:rFonts w:ascii="Times New Roman" w:hAnsi="Times New Roman" w:cs="Times New Roman"/>
          <w:color w:val="D9D9D9" w:themeColor="background1" w:themeShade="D9"/>
          <w:sz w:val="20"/>
          <w:szCs w:val="20"/>
        </w:rPr>
        <w:t>Experiment 2A comprised the asynchronized condition from experiment 1, and a “triple” condition that embedded T1 and T2 within separate LVF-only or RVF-only stimulus trios at 15 Hz. We again used experiment 2A’s “triple” condition in experiment 2B but required the participants to report only T2, ignoring the physically present T1. Lastly, experiment 2C differed from experiment 2B only in that we physically removed T1 from each display.</w:t>
      </w:r>
    </w:p>
    <w:p w:rsidR="00900B8C" w:rsidRPr="007B5F2A" w:rsidRDefault="00900B8C" w:rsidP="00BC63D1">
      <w:pPr>
        <w:spacing w:line="360" w:lineRule="auto"/>
        <w:rPr>
          <w:rFonts w:ascii="Times New Roman" w:hAnsi="Times New Roman" w:cs="Times New Roman"/>
          <w:color w:val="D9D9D9" w:themeColor="background1" w:themeShade="D9"/>
          <w:sz w:val="20"/>
          <w:szCs w:val="20"/>
        </w:rPr>
      </w:pPr>
    </w:p>
    <w:p w:rsidR="00900B8C" w:rsidRPr="007B5F2A" w:rsidRDefault="00900B8C" w:rsidP="00BC63D1">
      <w:pPr>
        <w:spacing w:line="360" w:lineRule="auto"/>
        <w:rPr>
          <w:rFonts w:ascii="Times New Roman" w:hAnsi="Times New Roman" w:cs="Times New Roman"/>
          <w:color w:val="D9D9D9" w:themeColor="background1" w:themeShade="D9"/>
          <w:sz w:val="20"/>
          <w:szCs w:val="20"/>
        </w:rPr>
      </w:pPr>
      <w:r w:rsidRPr="007B5F2A">
        <w:rPr>
          <w:rFonts w:ascii="Times New Roman" w:hAnsi="Times New Roman" w:cs="Times New Roman"/>
          <w:color w:val="D9D9D9" w:themeColor="background1" w:themeShade="D9"/>
          <w:sz w:val="20"/>
          <w:szCs w:val="20"/>
        </w:rPr>
        <w:t xml:space="preserve">Also, T2|T1 accuracy in the LVF significantly exceeded that in the RVF (p&lt;0.001). In experiment 2, T2|T1 accuracy decreased significantly in the laterally faster “triple” condition when the two targets appeared within the same hemifield (p&lt;0.001).   </w:t>
      </w:r>
    </w:p>
    <w:p w:rsidR="004942EE" w:rsidRPr="007B5F2A" w:rsidRDefault="004942EE" w:rsidP="00BC63D1">
      <w:pPr>
        <w:spacing w:line="360" w:lineRule="auto"/>
        <w:rPr>
          <w:rFonts w:ascii="Times New Roman" w:hAnsi="Times New Roman" w:cs="Times New Roman"/>
          <w:color w:val="D9D9D9" w:themeColor="background1" w:themeShade="D9"/>
          <w:sz w:val="20"/>
          <w:szCs w:val="20"/>
        </w:rPr>
      </w:pPr>
    </w:p>
    <w:p w:rsidR="004942EE" w:rsidRPr="007B5F2A" w:rsidRDefault="004942EE" w:rsidP="004942EE">
      <w:pPr>
        <w:spacing w:line="360" w:lineRule="auto"/>
        <w:ind w:firstLine="720"/>
        <w:rPr>
          <w:rFonts w:ascii="Times New Roman" w:hAnsi="Times New Roman" w:cs="Times New Roman"/>
          <w:color w:val="D9D9D9" w:themeColor="background1" w:themeShade="D9"/>
          <w:sz w:val="20"/>
          <w:szCs w:val="20"/>
        </w:rPr>
      </w:pPr>
      <w:r w:rsidRPr="007B5F2A">
        <w:rPr>
          <w:rFonts w:ascii="Times New Roman" w:hAnsi="Times New Roman" w:cs="Times New Roman"/>
          <w:b/>
          <w:color w:val="D9D9D9" w:themeColor="background1" w:themeShade="D9"/>
          <w:sz w:val="20"/>
          <w:szCs w:val="20"/>
        </w:rPr>
        <w:t>Conclusion:</w:t>
      </w:r>
      <w:r w:rsidRPr="007B5F2A">
        <w:rPr>
          <w:rFonts w:ascii="Times New Roman" w:hAnsi="Times New Roman" w:cs="Times New Roman"/>
          <w:color w:val="D9D9D9" w:themeColor="background1" w:themeShade="D9"/>
          <w:sz w:val="20"/>
          <w:szCs w:val="20"/>
        </w:rPr>
        <w:t xml:space="preserve">  Our findings suggest that visual attention’s temporal resolution is set “regionally” (separately in the lateral hemifields), not globally (across the lateral hemifields).  Additionally, the present LVF advantages further support a right parietal lobe “when” pathway (</w:t>
      </w:r>
      <w:proofErr w:type="spellStart"/>
      <w:r w:rsidRPr="007B5F2A">
        <w:rPr>
          <w:rFonts w:ascii="Times New Roman" w:hAnsi="Times New Roman" w:cs="Times New Roman"/>
          <w:color w:val="D9D9D9" w:themeColor="background1" w:themeShade="D9"/>
          <w:sz w:val="20"/>
          <w:szCs w:val="20"/>
        </w:rPr>
        <w:t>Battelli</w:t>
      </w:r>
      <w:proofErr w:type="spellEnd"/>
      <w:r w:rsidRPr="007B5F2A">
        <w:rPr>
          <w:rFonts w:ascii="Times New Roman" w:hAnsi="Times New Roman" w:cs="Times New Roman"/>
          <w:color w:val="D9D9D9" w:themeColor="background1" w:themeShade="D9"/>
          <w:sz w:val="20"/>
          <w:szCs w:val="20"/>
        </w:rPr>
        <w:t xml:space="preserve">, </w:t>
      </w:r>
      <w:proofErr w:type="spellStart"/>
      <w:r w:rsidRPr="007B5F2A">
        <w:rPr>
          <w:rFonts w:ascii="Times New Roman" w:hAnsi="Times New Roman" w:cs="Times New Roman"/>
          <w:color w:val="D9D9D9" w:themeColor="background1" w:themeShade="D9"/>
          <w:sz w:val="20"/>
          <w:szCs w:val="20"/>
        </w:rPr>
        <w:t>Pascual</w:t>
      </w:r>
      <w:proofErr w:type="spellEnd"/>
      <w:r w:rsidRPr="007B5F2A">
        <w:rPr>
          <w:rFonts w:ascii="Times New Roman" w:hAnsi="Times New Roman" w:cs="Times New Roman"/>
          <w:color w:val="D9D9D9" w:themeColor="background1" w:themeShade="D9"/>
          <w:sz w:val="20"/>
          <w:szCs w:val="20"/>
        </w:rPr>
        <w:t xml:space="preserve">-Leone &amp; Cavanagh, 2007). </w:t>
      </w:r>
    </w:p>
    <w:p w:rsidR="004942EE" w:rsidRDefault="004942EE" w:rsidP="00BC63D1">
      <w:pPr>
        <w:spacing w:line="360" w:lineRule="auto"/>
        <w:rPr>
          <w:rFonts w:ascii="Times New Roman" w:hAnsi="Times New Roman" w:cs="Times New Roman"/>
          <w:b/>
          <w:sz w:val="20"/>
          <w:szCs w:val="20"/>
        </w:rPr>
      </w:pPr>
    </w:p>
    <w:sectPr w:rsidR="004942E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F2A" w:rsidRDefault="00AD6F2A" w:rsidP="00281B17">
      <w:pPr>
        <w:spacing w:after="0" w:line="240" w:lineRule="auto"/>
      </w:pPr>
      <w:r>
        <w:separator/>
      </w:r>
    </w:p>
  </w:endnote>
  <w:endnote w:type="continuationSeparator" w:id="0">
    <w:p w:rsidR="00AD6F2A" w:rsidRDefault="00AD6F2A" w:rsidP="00281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5360623"/>
      <w:docPartObj>
        <w:docPartGallery w:val="Page Numbers (Bottom of Page)"/>
        <w:docPartUnique/>
      </w:docPartObj>
    </w:sdtPr>
    <w:sdtEndPr>
      <w:rPr>
        <w:rFonts w:ascii="Times New Roman" w:hAnsi="Times New Roman" w:cs="Times New Roman"/>
        <w:noProof/>
        <w:sz w:val="24"/>
        <w:szCs w:val="24"/>
      </w:rPr>
    </w:sdtEndPr>
    <w:sdtContent>
      <w:p w:rsidR="00242F94" w:rsidRPr="00F84F46" w:rsidRDefault="00242F94">
        <w:pPr>
          <w:pStyle w:val="Footer"/>
          <w:jc w:val="center"/>
          <w:rPr>
            <w:rFonts w:ascii="Times New Roman" w:hAnsi="Times New Roman" w:cs="Times New Roman"/>
            <w:sz w:val="24"/>
            <w:szCs w:val="24"/>
          </w:rPr>
        </w:pPr>
        <w:r w:rsidRPr="00F84F46">
          <w:rPr>
            <w:rFonts w:ascii="Times New Roman" w:hAnsi="Times New Roman" w:cs="Times New Roman"/>
            <w:sz w:val="24"/>
            <w:szCs w:val="24"/>
          </w:rPr>
          <w:fldChar w:fldCharType="begin"/>
        </w:r>
        <w:r w:rsidRPr="00F84F46">
          <w:rPr>
            <w:rFonts w:ascii="Times New Roman" w:hAnsi="Times New Roman" w:cs="Times New Roman"/>
            <w:sz w:val="24"/>
            <w:szCs w:val="24"/>
          </w:rPr>
          <w:instrText xml:space="preserve"> PAGE   \* MERGEFORMAT </w:instrText>
        </w:r>
        <w:r w:rsidRPr="00F84F46">
          <w:rPr>
            <w:rFonts w:ascii="Times New Roman" w:hAnsi="Times New Roman" w:cs="Times New Roman"/>
            <w:sz w:val="24"/>
            <w:szCs w:val="24"/>
          </w:rPr>
          <w:fldChar w:fldCharType="separate"/>
        </w:r>
        <w:r w:rsidR="00041794">
          <w:rPr>
            <w:rFonts w:ascii="Times New Roman" w:hAnsi="Times New Roman" w:cs="Times New Roman"/>
            <w:noProof/>
            <w:sz w:val="24"/>
            <w:szCs w:val="24"/>
          </w:rPr>
          <w:t>1</w:t>
        </w:r>
        <w:r w:rsidRPr="00F84F46">
          <w:rPr>
            <w:rFonts w:ascii="Times New Roman" w:hAnsi="Times New Roman" w:cs="Times New Roman"/>
            <w:noProof/>
            <w:sz w:val="24"/>
            <w:szCs w:val="24"/>
          </w:rPr>
          <w:fldChar w:fldCharType="end"/>
        </w:r>
      </w:p>
    </w:sdtContent>
  </w:sdt>
  <w:p w:rsidR="00242F94" w:rsidRDefault="00242F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F2A" w:rsidRDefault="00AD6F2A" w:rsidP="00281B17">
      <w:pPr>
        <w:spacing w:after="0" w:line="240" w:lineRule="auto"/>
      </w:pPr>
      <w:r>
        <w:separator/>
      </w:r>
    </w:p>
  </w:footnote>
  <w:footnote w:type="continuationSeparator" w:id="0">
    <w:p w:rsidR="00AD6F2A" w:rsidRDefault="00AD6F2A" w:rsidP="00281B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C24381"/>
    <w:multiLevelType w:val="hybridMultilevel"/>
    <w:tmpl w:val="013A8C28"/>
    <w:lvl w:ilvl="0" w:tplc="7F3A5B0A">
      <w:start w:val="1"/>
      <w:numFmt w:val="bullet"/>
      <w:lvlText w:val="•"/>
      <w:lvlJc w:val="left"/>
      <w:pPr>
        <w:tabs>
          <w:tab w:val="num" w:pos="720"/>
        </w:tabs>
        <w:ind w:left="720" w:hanging="360"/>
      </w:pPr>
      <w:rPr>
        <w:rFonts w:ascii="Arial" w:hAnsi="Arial" w:hint="default"/>
      </w:rPr>
    </w:lvl>
    <w:lvl w:ilvl="1" w:tplc="ECE840FA" w:tentative="1">
      <w:start w:val="1"/>
      <w:numFmt w:val="bullet"/>
      <w:lvlText w:val="•"/>
      <w:lvlJc w:val="left"/>
      <w:pPr>
        <w:tabs>
          <w:tab w:val="num" w:pos="1440"/>
        </w:tabs>
        <w:ind w:left="1440" w:hanging="360"/>
      </w:pPr>
      <w:rPr>
        <w:rFonts w:ascii="Arial" w:hAnsi="Arial" w:hint="default"/>
      </w:rPr>
    </w:lvl>
    <w:lvl w:ilvl="2" w:tplc="0DB2B62C" w:tentative="1">
      <w:start w:val="1"/>
      <w:numFmt w:val="bullet"/>
      <w:lvlText w:val="•"/>
      <w:lvlJc w:val="left"/>
      <w:pPr>
        <w:tabs>
          <w:tab w:val="num" w:pos="2160"/>
        </w:tabs>
        <w:ind w:left="2160" w:hanging="360"/>
      </w:pPr>
      <w:rPr>
        <w:rFonts w:ascii="Arial" w:hAnsi="Arial" w:hint="default"/>
      </w:rPr>
    </w:lvl>
    <w:lvl w:ilvl="3" w:tplc="36609338" w:tentative="1">
      <w:start w:val="1"/>
      <w:numFmt w:val="bullet"/>
      <w:lvlText w:val="•"/>
      <w:lvlJc w:val="left"/>
      <w:pPr>
        <w:tabs>
          <w:tab w:val="num" w:pos="2880"/>
        </w:tabs>
        <w:ind w:left="2880" w:hanging="360"/>
      </w:pPr>
      <w:rPr>
        <w:rFonts w:ascii="Arial" w:hAnsi="Arial" w:hint="default"/>
      </w:rPr>
    </w:lvl>
    <w:lvl w:ilvl="4" w:tplc="650CD3B8" w:tentative="1">
      <w:start w:val="1"/>
      <w:numFmt w:val="bullet"/>
      <w:lvlText w:val="•"/>
      <w:lvlJc w:val="left"/>
      <w:pPr>
        <w:tabs>
          <w:tab w:val="num" w:pos="3600"/>
        </w:tabs>
        <w:ind w:left="3600" w:hanging="360"/>
      </w:pPr>
      <w:rPr>
        <w:rFonts w:ascii="Arial" w:hAnsi="Arial" w:hint="default"/>
      </w:rPr>
    </w:lvl>
    <w:lvl w:ilvl="5" w:tplc="C9EAC542" w:tentative="1">
      <w:start w:val="1"/>
      <w:numFmt w:val="bullet"/>
      <w:lvlText w:val="•"/>
      <w:lvlJc w:val="left"/>
      <w:pPr>
        <w:tabs>
          <w:tab w:val="num" w:pos="4320"/>
        </w:tabs>
        <w:ind w:left="4320" w:hanging="360"/>
      </w:pPr>
      <w:rPr>
        <w:rFonts w:ascii="Arial" w:hAnsi="Arial" w:hint="default"/>
      </w:rPr>
    </w:lvl>
    <w:lvl w:ilvl="6" w:tplc="FD94A2FC" w:tentative="1">
      <w:start w:val="1"/>
      <w:numFmt w:val="bullet"/>
      <w:lvlText w:val="•"/>
      <w:lvlJc w:val="left"/>
      <w:pPr>
        <w:tabs>
          <w:tab w:val="num" w:pos="5040"/>
        </w:tabs>
        <w:ind w:left="5040" w:hanging="360"/>
      </w:pPr>
      <w:rPr>
        <w:rFonts w:ascii="Arial" w:hAnsi="Arial" w:hint="default"/>
      </w:rPr>
    </w:lvl>
    <w:lvl w:ilvl="7" w:tplc="06AA2650" w:tentative="1">
      <w:start w:val="1"/>
      <w:numFmt w:val="bullet"/>
      <w:lvlText w:val="•"/>
      <w:lvlJc w:val="left"/>
      <w:pPr>
        <w:tabs>
          <w:tab w:val="num" w:pos="5760"/>
        </w:tabs>
        <w:ind w:left="5760" w:hanging="360"/>
      </w:pPr>
      <w:rPr>
        <w:rFonts w:ascii="Arial" w:hAnsi="Arial" w:hint="default"/>
      </w:rPr>
    </w:lvl>
    <w:lvl w:ilvl="8" w:tplc="13146592" w:tentative="1">
      <w:start w:val="1"/>
      <w:numFmt w:val="bullet"/>
      <w:lvlText w:val="•"/>
      <w:lvlJc w:val="left"/>
      <w:pPr>
        <w:tabs>
          <w:tab w:val="num" w:pos="6480"/>
        </w:tabs>
        <w:ind w:left="6480" w:hanging="360"/>
      </w:pPr>
      <w:rPr>
        <w:rFonts w:ascii="Arial" w:hAnsi="Arial" w:hint="default"/>
      </w:rPr>
    </w:lvl>
  </w:abstractNum>
  <w:abstractNum w:abstractNumId="1">
    <w:nsid w:val="63347FC7"/>
    <w:multiLevelType w:val="hybridMultilevel"/>
    <w:tmpl w:val="8068AE54"/>
    <w:lvl w:ilvl="0" w:tplc="6C601F24">
      <w:start w:val="1"/>
      <w:numFmt w:val="bullet"/>
      <w:lvlText w:val="–"/>
      <w:lvlJc w:val="left"/>
      <w:pPr>
        <w:tabs>
          <w:tab w:val="num" w:pos="720"/>
        </w:tabs>
        <w:ind w:left="720" w:hanging="360"/>
      </w:pPr>
      <w:rPr>
        <w:rFonts w:ascii="Arial" w:hAnsi="Arial" w:hint="default"/>
      </w:rPr>
    </w:lvl>
    <w:lvl w:ilvl="1" w:tplc="1952A114">
      <w:start w:val="1"/>
      <w:numFmt w:val="bullet"/>
      <w:lvlText w:val="–"/>
      <w:lvlJc w:val="left"/>
      <w:pPr>
        <w:tabs>
          <w:tab w:val="num" w:pos="1440"/>
        </w:tabs>
        <w:ind w:left="1440" w:hanging="360"/>
      </w:pPr>
      <w:rPr>
        <w:rFonts w:ascii="Arial" w:hAnsi="Arial" w:hint="default"/>
      </w:rPr>
    </w:lvl>
    <w:lvl w:ilvl="2" w:tplc="F9A28814" w:tentative="1">
      <w:start w:val="1"/>
      <w:numFmt w:val="bullet"/>
      <w:lvlText w:val="–"/>
      <w:lvlJc w:val="left"/>
      <w:pPr>
        <w:tabs>
          <w:tab w:val="num" w:pos="2160"/>
        </w:tabs>
        <w:ind w:left="2160" w:hanging="360"/>
      </w:pPr>
      <w:rPr>
        <w:rFonts w:ascii="Arial" w:hAnsi="Arial" w:hint="default"/>
      </w:rPr>
    </w:lvl>
    <w:lvl w:ilvl="3" w:tplc="DD2466C8" w:tentative="1">
      <w:start w:val="1"/>
      <w:numFmt w:val="bullet"/>
      <w:lvlText w:val="–"/>
      <w:lvlJc w:val="left"/>
      <w:pPr>
        <w:tabs>
          <w:tab w:val="num" w:pos="2880"/>
        </w:tabs>
        <w:ind w:left="2880" w:hanging="360"/>
      </w:pPr>
      <w:rPr>
        <w:rFonts w:ascii="Arial" w:hAnsi="Arial" w:hint="default"/>
      </w:rPr>
    </w:lvl>
    <w:lvl w:ilvl="4" w:tplc="93127C52" w:tentative="1">
      <w:start w:val="1"/>
      <w:numFmt w:val="bullet"/>
      <w:lvlText w:val="–"/>
      <w:lvlJc w:val="left"/>
      <w:pPr>
        <w:tabs>
          <w:tab w:val="num" w:pos="3600"/>
        </w:tabs>
        <w:ind w:left="3600" w:hanging="360"/>
      </w:pPr>
      <w:rPr>
        <w:rFonts w:ascii="Arial" w:hAnsi="Arial" w:hint="default"/>
      </w:rPr>
    </w:lvl>
    <w:lvl w:ilvl="5" w:tplc="F07EBB84" w:tentative="1">
      <w:start w:val="1"/>
      <w:numFmt w:val="bullet"/>
      <w:lvlText w:val="–"/>
      <w:lvlJc w:val="left"/>
      <w:pPr>
        <w:tabs>
          <w:tab w:val="num" w:pos="4320"/>
        </w:tabs>
        <w:ind w:left="4320" w:hanging="360"/>
      </w:pPr>
      <w:rPr>
        <w:rFonts w:ascii="Arial" w:hAnsi="Arial" w:hint="default"/>
      </w:rPr>
    </w:lvl>
    <w:lvl w:ilvl="6" w:tplc="69507F48" w:tentative="1">
      <w:start w:val="1"/>
      <w:numFmt w:val="bullet"/>
      <w:lvlText w:val="–"/>
      <w:lvlJc w:val="left"/>
      <w:pPr>
        <w:tabs>
          <w:tab w:val="num" w:pos="5040"/>
        </w:tabs>
        <w:ind w:left="5040" w:hanging="360"/>
      </w:pPr>
      <w:rPr>
        <w:rFonts w:ascii="Arial" w:hAnsi="Arial" w:hint="default"/>
      </w:rPr>
    </w:lvl>
    <w:lvl w:ilvl="7" w:tplc="5EE4C732" w:tentative="1">
      <w:start w:val="1"/>
      <w:numFmt w:val="bullet"/>
      <w:lvlText w:val="–"/>
      <w:lvlJc w:val="left"/>
      <w:pPr>
        <w:tabs>
          <w:tab w:val="num" w:pos="5760"/>
        </w:tabs>
        <w:ind w:left="5760" w:hanging="360"/>
      </w:pPr>
      <w:rPr>
        <w:rFonts w:ascii="Arial" w:hAnsi="Arial" w:hint="default"/>
      </w:rPr>
    </w:lvl>
    <w:lvl w:ilvl="8" w:tplc="6A465F32"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FA8"/>
    <w:rsid w:val="000107E7"/>
    <w:rsid w:val="000224CC"/>
    <w:rsid w:val="00023402"/>
    <w:rsid w:val="00041794"/>
    <w:rsid w:val="00045FA8"/>
    <w:rsid w:val="00046982"/>
    <w:rsid w:val="000720E7"/>
    <w:rsid w:val="00076C66"/>
    <w:rsid w:val="000A71D0"/>
    <w:rsid w:val="000F05A0"/>
    <w:rsid w:val="000F7854"/>
    <w:rsid w:val="00115679"/>
    <w:rsid w:val="00156F7B"/>
    <w:rsid w:val="001A07B4"/>
    <w:rsid w:val="001B0192"/>
    <w:rsid w:val="001C107F"/>
    <w:rsid w:val="001D0514"/>
    <w:rsid w:val="001D709B"/>
    <w:rsid w:val="001E1AE9"/>
    <w:rsid w:val="001F21E7"/>
    <w:rsid w:val="001F7C59"/>
    <w:rsid w:val="00220B84"/>
    <w:rsid w:val="002341BA"/>
    <w:rsid w:val="00234218"/>
    <w:rsid w:val="00242F94"/>
    <w:rsid w:val="00243EDA"/>
    <w:rsid w:val="002646EF"/>
    <w:rsid w:val="00264AEF"/>
    <w:rsid w:val="00281B17"/>
    <w:rsid w:val="002B1C9B"/>
    <w:rsid w:val="002B74E1"/>
    <w:rsid w:val="002E3802"/>
    <w:rsid w:val="002F1102"/>
    <w:rsid w:val="003474A7"/>
    <w:rsid w:val="003564BC"/>
    <w:rsid w:val="00364290"/>
    <w:rsid w:val="00386036"/>
    <w:rsid w:val="00391ABE"/>
    <w:rsid w:val="003C57C8"/>
    <w:rsid w:val="003D2DEB"/>
    <w:rsid w:val="003D5DDC"/>
    <w:rsid w:val="003F3406"/>
    <w:rsid w:val="003F59C8"/>
    <w:rsid w:val="00425669"/>
    <w:rsid w:val="00431434"/>
    <w:rsid w:val="00434542"/>
    <w:rsid w:val="004516D1"/>
    <w:rsid w:val="00467A5F"/>
    <w:rsid w:val="00472F80"/>
    <w:rsid w:val="0047534F"/>
    <w:rsid w:val="00487ED7"/>
    <w:rsid w:val="004900C6"/>
    <w:rsid w:val="0049205C"/>
    <w:rsid w:val="004942EE"/>
    <w:rsid w:val="004975D7"/>
    <w:rsid w:val="004D54D7"/>
    <w:rsid w:val="004D6376"/>
    <w:rsid w:val="005123E3"/>
    <w:rsid w:val="005602C9"/>
    <w:rsid w:val="00564AEE"/>
    <w:rsid w:val="00570315"/>
    <w:rsid w:val="0059281B"/>
    <w:rsid w:val="005A38F7"/>
    <w:rsid w:val="005C3254"/>
    <w:rsid w:val="005C7017"/>
    <w:rsid w:val="005D0D3E"/>
    <w:rsid w:val="005D150E"/>
    <w:rsid w:val="005D36FB"/>
    <w:rsid w:val="0063079E"/>
    <w:rsid w:val="00635863"/>
    <w:rsid w:val="00642AEA"/>
    <w:rsid w:val="00644095"/>
    <w:rsid w:val="006504FE"/>
    <w:rsid w:val="00662E77"/>
    <w:rsid w:val="006B5C3B"/>
    <w:rsid w:val="006D44E0"/>
    <w:rsid w:val="006D491E"/>
    <w:rsid w:val="006D78DE"/>
    <w:rsid w:val="007005B5"/>
    <w:rsid w:val="00715A85"/>
    <w:rsid w:val="007206F6"/>
    <w:rsid w:val="00731E46"/>
    <w:rsid w:val="0075606C"/>
    <w:rsid w:val="0075778B"/>
    <w:rsid w:val="00764A8B"/>
    <w:rsid w:val="007675D4"/>
    <w:rsid w:val="0078128D"/>
    <w:rsid w:val="00790ADF"/>
    <w:rsid w:val="007A1B26"/>
    <w:rsid w:val="007B5F2A"/>
    <w:rsid w:val="007C3068"/>
    <w:rsid w:val="007C52E7"/>
    <w:rsid w:val="007D4215"/>
    <w:rsid w:val="007E0BDC"/>
    <w:rsid w:val="0080665A"/>
    <w:rsid w:val="00822F40"/>
    <w:rsid w:val="0085055C"/>
    <w:rsid w:val="00857D54"/>
    <w:rsid w:val="00860068"/>
    <w:rsid w:val="00877395"/>
    <w:rsid w:val="00884E5D"/>
    <w:rsid w:val="008C3DFA"/>
    <w:rsid w:val="008F2D0F"/>
    <w:rsid w:val="00900B8C"/>
    <w:rsid w:val="00905091"/>
    <w:rsid w:val="0090560F"/>
    <w:rsid w:val="00911296"/>
    <w:rsid w:val="00914B3D"/>
    <w:rsid w:val="0096220D"/>
    <w:rsid w:val="00980518"/>
    <w:rsid w:val="009A4434"/>
    <w:rsid w:val="009B3BF3"/>
    <w:rsid w:val="009B6BA9"/>
    <w:rsid w:val="009C24B8"/>
    <w:rsid w:val="009E5E03"/>
    <w:rsid w:val="009F0A83"/>
    <w:rsid w:val="00A42432"/>
    <w:rsid w:val="00A50833"/>
    <w:rsid w:val="00A95A9F"/>
    <w:rsid w:val="00AA0332"/>
    <w:rsid w:val="00AB1FE2"/>
    <w:rsid w:val="00AB2631"/>
    <w:rsid w:val="00AD232E"/>
    <w:rsid w:val="00AD6F2A"/>
    <w:rsid w:val="00AF1128"/>
    <w:rsid w:val="00B03E2D"/>
    <w:rsid w:val="00B23EF9"/>
    <w:rsid w:val="00B46B05"/>
    <w:rsid w:val="00BA742C"/>
    <w:rsid w:val="00BC2AB4"/>
    <w:rsid w:val="00BC63D1"/>
    <w:rsid w:val="00C319B9"/>
    <w:rsid w:val="00C4613F"/>
    <w:rsid w:val="00C46BA0"/>
    <w:rsid w:val="00C47AB7"/>
    <w:rsid w:val="00C55985"/>
    <w:rsid w:val="00C562A1"/>
    <w:rsid w:val="00C576BD"/>
    <w:rsid w:val="00C76EA9"/>
    <w:rsid w:val="00C77E95"/>
    <w:rsid w:val="00C8587A"/>
    <w:rsid w:val="00CA731F"/>
    <w:rsid w:val="00CB326E"/>
    <w:rsid w:val="00CF7527"/>
    <w:rsid w:val="00D01FE7"/>
    <w:rsid w:val="00D03BA3"/>
    <w:rsid w:val="00D22F69"/>
    <w:rsid w:val="00D35109"/>
    <w:rsid w:val="00D379D5"/>
    <w:rsid w:val="00D4148E"/>
    <w:rsid w:val="00D517D1"/>
    <w:rsid w:val="00D52F03"/>
    <w:rsid w:val="00D72EB0"/>
    <w:rsid w:val="00D87B80"/>
    <w:rsid w:val="00DB4836"/>
    <w:rsid w:val="00DD440F"/>
    <w:rsid w:val="00DF5812"/>
    <w:rsid w:val="00E02117"/>
    <w:rsid w:val="00E064DF"/>
    <w:rsid w:val="00E214DC"/>
    <w:rsid w:val="00E22F1F"/>
    <w:rsid w:val="00E36E9F"/>
    <w:rsid w:val="00E665C6"/>
    <w:rsid w:val="00E74A7C"/>
    <w:rsid w:val="00E819CE"/>
    <w:rsid w:val="00EA4A50"/>
    <w:rsid w:val="00EB1771"/>
    <w:rsid w:val="00ED44AB"/>
    <w:rsid w:val="00F5299A"/>
    <w:rsid w:val="00F5695D"/>
    <w:rsid w:val="00F6267D"/>
    <w:rsid w:val="00F937DD"/>
    <w:rsid w:val="00FA7752"/>
    <w:rsid w:val="00FB0541"/>
    <w:rsid w:val="00FD02D1"/>
    <w:rsid w:val="00FD06D1"/>
    <w:rsid w:val="00FE1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F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45FA8"/>
    <w:rPr>
      <w:color w:val="0000FF"/>
    </w:rPr>
  </w:style>
  <w:style w:type="paragraph" w:styleId="Header">
    <w:name w:val="header"/>
    <w:basedOn w:val="Normal"/>
    <w:link w:val="HeaderChar"/>
    <w:uiPriority w:val="99"/>
    <w:unhideWhenUsed/>
    <w:rsid w:val="00045F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FA8"/>
  </w:style>
  <w:style w:type="paragraph" w:styleId="Footer">
    <w:name w:val="footer"/>
    <w:basedOn w:val="Normal"/>
    <w:link w:val="FooterChar"/>
    <w:uiPriority w:val="99"/>
    <w:unhideWhenUsed/>
    <w:rsid w:val="00045F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FA8"/>
  </w:style>
  <w:style w:type="paragraph" w:styleId="FootnoteText">
    <w:name w:val="footnote text"/>
    <w:basedOn w:val="Normal"/>
    <w:link w:val="FootnoteTextChar"/>
    <w:semiHidden/>
    <w:rsid w:val="00281B17"/>
    <w:pPr>
      <w:spacing w:after="0" w:line="240" w:lineRule="auto"/>
    </w:pPr>
    <w:rPr>
      <w:rFonts w:ascii="Times New Roman" w:eastAsia="MS Mincho" w:hAnsi="Times New Roman" w:cs="Times New Roman"/>
      <w:sz w:val="20"/>
      <w:szCs w:val="20"/>
      <w:lang w:eastAsia="ja-JP"/>
    </w:rPr>
  </w:style>
  <w:style w:type="character" w:customStyle="1" w:styleId="FootnoteTextChar">
    <w:name w:val="Footnote Text Char"/>
    <w:basedOn w:val="DefaultParagraphFont"/>
    <w:link w:val="FootnoteText"/>
    <w:semiHidden/>
    <w:rsid w:val="00281B17"/>
    <w:rPr>
      <w:rFonts w:ascii="Times New Roman" w:eastAsia="MS Mincho" w:hAnsi="Times New Roman" w:cs="Times New Roman"/>
      <w:sz w:val="20"/>
      <w:szCs w:val="20"/>
      <w:lang w:eastAsia="ja-JP"/>
    </w:rPr>
  </w:style>
  <w:style w:type="character" w:styleId="FootnoteReference">
    <w:name w:val="footnote reference"/>
    <w:basedOn w:val="DefaultParagraphFont"/>
    <w:semiHidden/>
    <w:rsid w:val="00281B17"/>
    <w:rPr>
      <w:vertAlign w:val="superscript"/>
    </w:rPr>
  </w:style>
  <w:style w:type="paragraph" w:styleId="ListParagraph">
    <w:name w:val="List Paragraph"/>
    <w:basedOn w:val="Normal"/>
    <w:uiPriority w:val="34"/>
    <w:qFormat/>
    <w:rsid w:val="000F7854"/>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341B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F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45FA8"/>
    <w:rPr>
      <w:color w:val="0000FF"/>
    </w:rPr>
  </w:style>
  <w:style w:type="paragraph" w:styleId="Header">
    <w:name w:val="header"/>
    <w:basedOn w:val="Normal"/>
    <w:link w:val="HeaderChar"/>
    <w:uiPriority w:val="99"/>
    <w:unhideWhenUsed/>
    <w:rsid w:val="00045F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FA8"/>
  </w:style>
  <w:style w:type="paragraph" w:styleId="Footer">
    <w:name w:val="footer"/>
    <w:basedOn w:val="Normal"/>
    <w:link w:val="FooterChar"/>
    <w:uiPriority w:val="99"/>
    <w:unhideWhenUsed/>
    <w:rsid w:val="00045F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FA8"/>
  </w:style>
  <w:style w:type="paragraph" w:styleId="FootnoteText">
    <w:name w:val="footnote text"/>
    <w:basedOn w:val="Normal"/>
    <w:link w:val="FootnoteTextChar"/>
    <w:semiHidden/>
    <w:rsid w:val="00281B17"/>
    <w:pPr>
      <w:spacing w:after="0" w:line="240" w:lineRule="auto"/>
    </w:pPr>
    <w:rPr>
      <w:rFonts w:ascii="Times New Roman" w:eastAsia="MS Mincho" w:hAnsi="Times New Roman" w:cs="Times New Roman"/>
      <w:sz w:val="20"/>
      <w:szCs w:val="20"/>
      <w:lang w:eastAsia="ja-JP"/>
    </w:rPr>
  </w:style>
  <w:style w:type="character" w:customStyle="1" w:styleId="FootnoteTextChar">
    <w:name w:val="Footnote Text Char"/>
    <w:basedOn w:val="DefaultParagraphFont"/>
    <w:link w:val="FootnoteText"/>
    <w:semiHidden/>
    <w:rsid w:val="00281B17"/>
    <w:rPr>
      <w:rFonts w:ascii="Times New Roman" w:eastAsia="MS Mincho" w:hAnsi="Times New Roman" w:cs="Times New Roman"/>
      <w:sz w:val="20"/>
      <w:szCs w:val="20"/>
      <w:lang w:eastAsia="ja-JP"/>
    </w:rPr>
  </w:style>
  <w:style w:type="character" w:styleId="FootnoteReference">
    <w:name w:val="footnote reference"/>
    <w:basedOn w:val="DefaultParagraphFont"/>
    <w:semiHidden/>
    <w:rsid w:val="00281B17"/>
    <w:rPr>
      <w:vertAlign w:val="superscript"/>
    </w:rPr>
  </w:style>
  <w:style w:type="paragraph" w:styleId="ListParagraph">
    <w:name w:val="List Paragraph"/>
    <w:basedOn w:val="Normal"/>
    <w:uiPriority w:val="34"/>
    <w:qFormat/>
    <w:rsid w:val="000F7854"/>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341B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781360">
      <w:bodyDiv w:val="1"/>
      <w:marLeft w:val="0"/>
      <w:marRight w:val="0"/>
      <w:marTop w:val="0"/>
      <w:marBottom w:val="0"/>
      <w:divBdr>
        <w:top w:val="none" w:sz="0" w:space="0" w:color="auto"/>
        <w:left w:val="none" w:sz="0" w:space="0" w:color="auto"/>
        <w:bottom w:val="none" w:sz="0" w:space="0" w:color="auto"/>
        <w:right w:val="none" w:sz="0" w:space="0" w:color="auto"/>
      </w:divBdr>
      <w:divsChild>
        <w:div w:id="1165902687">
          <w:marLeft w:val="0"/>
          <w:marRight w:val="0"/>
          <w:marTop w:val="0"/>
          <w:marBottom w:val="0"/>
          <w:divBdr>
            <w:top w:val="none" w:sz="0" w:space="0" w:color="auto"/>
            <w:left w:val="none" w:sz="0" w:space="0" w:color="auto"/>
            <w:bottom w:val="none" w:sz="0" w:space="0" w:color="auto"/>
            <w:right w:val="none" w:sz="0" w:space="0" w:color="auto"/>
          </w:divBdr>
        </w:div>
        <w:div w:id="1038122961">
          <w:marLeft w:val="0"/>
          <w:marRight w:val="0"/>
          <w:marTop w:val="0"/>
          <w:marBottom w:val="0"/>
          <w:divBdr>
            <w:top w:val="none" w:sz="0" w:space="0" w:color="auto"/>
            <w:left w:val="none" w:sz="0" w:space="0" w:color="auto"/>
            <w:bottom w:val="none" w:sz="0" w:space="0" w:color="auto"/>
            <w:right w:val="none" w:sz="0" w:space="0" w:color="auto"/>
          </w:divBdr>
        </w:div>
      </w:divsChild>
    </w:div>
    <w:div w:id="976881409">
      <w:bodyDiv w:val="1"/>
      <w:marLeft w:val="0"/>
      <w:marRight w:val="0"/>
      <w:marTop w:val="0"/>
      <w:marBottom w:val="0"/>
      <w:divBdr>
        <w:top w:val="none" w:sz="0" w:space="0" w:color="auto"/>
        <w:left w:val="none" w:sz="0" w:space="0" w:color="auto"/>
        <w:bottom w:val="none" w:sz="0" w:space="0" w:color="auto"/>
        <w:right w:val="none" w:sz="0" w:space="0" w:color="auto"/>
      </w:divBdr>
    </w:div>
    <w:div w:id="1218666559">
      <w:bodyDiv w:val="1"/>
      <w:marLeft w:val="0"/>
      <w:marRight w:val="0"/>
      <w:marTop w:val="0"/>
      <w:marBottom w:val="0"/>
      <w:divBdr>
        <w:top w:val="none" w:sz="0" w:space="0" w:color="auto"/>
        <w:left w:val="none" w:sz="0" w:space="0" w:color="auto"/>
        <w:bottom w:val="none" w:sz="0" w:space="0" w:color="auto"/>
        <w:right w:val="none" w:sz="0" w:space="0" w:color="auto"/>
      </w:divBdr>
      <w:divsChild>
        <w:div w:id="1865627830">
          <w:marLeft w:val="1166"/>
          <w:marRight w:val="0"/>
          <w:marTop w:val="134"/>
          <w:marBottom w:val="0"/>
          <w:divBdr>
            <w:top w:val="none" w:sz="0" w:space="0" w:color="auto"/>
            <w:left w:val="none" w:sz="0" w:space="0" w:color="auto"/>
            <w:bottom w:val="none" w:sz="0" w:space="0" w:color="auto"/>
            <w:right w:val="none" w:sz="0" w:space="0" w:color="auto"/>
          </w:divBdr>
        </w:div>
      </w:divsChild>
    </w:div>
    <w:div w:id="1490638676">
      <w:bodyDiv w:val="1"/>
      <w:marLeft w:val="0"/>
      <w:marRight w:val="0"/>
      <w:marTop w:val="0"/>
      <w:marBottom w:val="0"/>
      <w:divBdr>
        <w:top w:val="none" w:sz="0" w:space="0" w:color="auto"/>
        <w:left w:val="none" w:sz="0" w:space="0" w:color="auto"/>
        <w:bottom w:val="none" w:sz="0" w:space="0" w:color="auto"/>
        <w:right w:val="none" w:sz="0" w:space="0" w:color="auto"/>
      </w:divBdr>
      <w:divsChild>
        <w:div w:id="1371491422">
          <w:marLeft w:val="1166"/>
          <w:marRight w:val="0"/>
          <w:marTop w:val="134"/>
          <w:marBottom w:val="0"/>
          <w:divBdr>
            <w:top w:val="none" w:sz="0" w:space="0" w:color="auto"/>
            <w:left w:val="none" w:sz="0" w:space="0" w:color="auto"/>
            <w:bottom w:val="none" w:sz="0" w:space="0" w:color="auto"/>
            <w:right w:val="none" w:sz="0" w:space="0" w:color="auto"/>
          </w:divBdr>
        </w:div>
      </w:divsChild>
    </w:div>
    <w:div w:id="2065059134">
      <w:bodyDiv w:val="1"/>
      <w:marLeft w:val="0"/>
      <w:marRight w:val="0"/>
      <w:marTop w:val="0"/>
      <w:marBottom w:val="0"/>
      <w:divBdr>
        <w:top w:val="none" w:sz="0" w:space="0" w:color="auto"/>
        <w:left w:val="none" w:sz="0" w:space="0" w:color="auto"/>
        <w:bottom w:val="none" w:sz="0" w:space="0" w:color="auto"/>
        <w:right w:val="none" w:sz="0" w:space="0" w:color="auto"/>
      </w:divBdr>
      <w:divsChild>
        <w:div w:id="1189106156">
          <w:marLeft w:val="547"/>
          <w:marRight w:val="0"/>
          <w:marTop w:val="10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577</Words>
  <Characters>3293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DUWindows7</dc:creator>
  <cp:lastModifiedBy>Windows User</cp:lastModifiedBy>
  <cp:revision>2</cp:revision>
  <cp:lastPrinted>2013-12-01T18:04:00Z</cp:lastPrinted>
  <dcterms:created xsi:type="dcterms:W3CDTF">2014-04-30T20:12:00Z</dcterms:created>
  <dcterms:modified xsi:type="dcterms:W3CDTF">2014-04-30T20:12:00Z</dcterms:modified>
</cp:coreProperties>
</file>